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CENTRO UNIVERSITÁRIO MAX PLANCK (UNIMAX)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CURSO DE MARKETING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PROJETO INTEGRADOR II</w:t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ENZO MENSATTO FERREIRA (RA 52624600)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WINICIUS ACIOLI (RA 52625216)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AGENOR FERREIRA DE CAMPOS JUNIOR (RA 52625170)</w:t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APEX I: DOSSIÊ DE DIAGNÓSTICO EXTENSIONISTA E PROPOSTA DE SOLUÇÃO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Dispositivo Assistivo 3D: autonomia na alimentação para pessoas com atrofia muscular de mão e antebraço</w:t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Indaiatuba/SP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2026</w:t>
      </w:r>
    </w:p>
    <w:p>
      <w:pPr>
        <w:sectPr>
          <w:pgSz w:w="11906" w:h="16838" w:orient="portrait"/>
          <w:pgMar w:top="1701" w:right="1134" w:bottom="1134" w:left="1701" w:header="708" w:footer="708" w:gutter="0"/>
          <w:pgNumType/>
          <w:docGrid w:linePitch="360"/>
        </w:sectPr>
      </w:pP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ENZO MENSATTO FERREIRA (RA 52624600)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WINICIUS ACIOLI (RA 52625216)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AGENOR FERREIRA DE CAMPOS JUNIOR (RA 52625170)</w:t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APEX I: DOSSIÊ DE DIAGNÓSTICO EXTENSIONISTA E PROPOSTA DE SOLUÇÃO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Dispositivo Assistivo 3D: autonomia na alimentação para pessoas com atrofia muscular de mão e antebraço</w:t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240"/>
        <w:ind w:left="4535"/>
        <w:jc w:val="both"/>
      </w:pPr>
      <w:r>
        <w:rPr>
          <w:rFonts w:ascii="Arial" w:cs="Arial" w:eastAsia="Arial" w:hAnsi="Arial"/>
          <w:sz w:val="20"/>
          <w:szCs w:val="20"/>
        </w:rPr>
        <w:t xml:space="preserve">Dossiê Progressivo apresentado à disciplina Projeto Integrador II, do curso de Marketing do Centro Universitário Max Planck (UniMax), como entrega da Atividade Prática Extensionista APEX I do projeto "Marketing que Transforma".</w:t>
      </w:r>
    </w:p>
    <w:p>
      <w:pPr>
        <w:spacing w:before="240" w:line="240"/>
        <w:ind w:left="4535"/>
      </w:pPr>
      <w:r>
        <w:rPr>
          <w:rFonts w:ascii="Arial" w:cs="Arial" w:eastAsia="Arial" w:hAnsi="Arial"/>
          <w:sz w:val="20"/>
          <w:szCs w:val="20"/>
        </w:rPr>
        <w:t xml:space="preserve">Docente: Prof. Douglas Turini Sanches</w:t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line="3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Indaiatuba/SP</w:t>
      </w:r>
    </w:p>
    <w:p>
      <w:pPr>
        <w:spacing w:after="0" w:before="0" w:line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2026</w:t>
      </w:r>
    </w:p>
    <w:p>
      <w:r>
        <w:br w:type="page"/>
      </w:r>
    </w:p>
    <w:p>
      <w:pPr>
        <w:spacing w:after="240" w:before="0" w:line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SUMÁRIO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IDENTIFICAÇÃO DO PROJETO</w:t>
      </w:r>
      <w:r>
        <w:rPr>
          <w:rFonts w:ascii="Arial" w:cs="Arial" w:eastAsia="Arial" w:hAnsi="Arial"/>
          <w:sz w:val="24"/>
          <w:szCs w:val="24"/>
        </w:rPr>
        <w:t xml:space="preserve">	3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CARACTERIZAÇÃO DO CONTEXTO</w:t>
      </w:r>
      <w:r>
        <w:rPr>
          <w:rFonts w:ascii="Arial" w:cs="Arial" w:eastAsia="Arial" w:hAnsi="Arial"/>
          <w:sz w:val="24"/>
          <w:szCs w:val="24"/>
        </w:rPr>
        <w:t xml:space="preserve">	3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 PROBLEMA CENTRAL</w:t>
      </w:r>
      <w:r>
        <w:rPr>
          <w:rFonts w:ascii="Arial" w:cs="Arial" w:eastAsia="Arial" w:hAnsi="Arial"/>
          <w:sz w:val="24"/>
          <w:szCs w:val="24"/>
        </w:rPr>
        <w:t xml:space="preserve">	4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 PÚBLICOS RELACIONADOS</w:t>
      </w:r>
      <w:r>
        <w:rPr>
          <w:rFonts w:ascii="Arial" w:cs="Arial" w:eastAsia="Arial" w:hAnsi="Arial"/>
          <w:sz w:val="24"/>
          <w:szCs w:val="24"/>
        </w:rPr>
        <w:t xml:space="preserve">	4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TRIANGULAÇÃO DE EVIDÊNCIAS</w:t>
      </w:r>
      <w:r>
        <w:rPr>
          <w:rFonts w:ascii="Arial" w:cs="Arial" w:eastAsia="Arial" w:hAnsi="Arial"/>
          <w:sz w:val="24"/>
          <w:szCs w:val="24"/>
        </w:rPr>
        <w:t xml:space="preserve">	5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5.1 Método</w:t>
      </w:r>
      <w:r>
        <w:rPr>
          <w:rFonts w:ascii="Arial" w:cs="Arial" w:eastAsia="Arial" w:hAnsi="Arial"/>
          <w:sz w:val="24"/>
          <w:szCs w:val="24"/>
        </w:rPr>
        <w:t xml:space="preserve">	5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5.2 Evidências documentais</w:t>
      </w:r>
      <w:r>
        <w:rPr>
          <w:rFonts w:ascii="Arial" w:cs="Arial" w:eastAsia="Arial" w:hAnsi="Arial"/>
          <w:sz w:val="24"/>
          <w:szCs w:val="24"/>
        </w:rPr>
        <w:t xml:space="preserve">	5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5.3 Evidências de campo e tentativas de contato</w:t>
      </w:r>
      <w:r>
        <w:rPr>
          <w:rFonts w:ascii="Arial" w:cs="Arial" w:eastAsia="Arial" w:hAnsi="Arial"/>
          <w:sz w:val="24"/>
          <w:szCs w:val="24"/>
        </w:rPr>
        <w:t xml:space="preserve">	6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5.4 Recorrências, convergências, contradições e lacunas</w:t>
      </w:r>
      <w:r>
        <w:rPr>
          <w:rFonts w:ascii="Arial" w:cs="Arial" w:eastAsia="Arial" w:hAnsi="Arial"/>
          <w:sz w:val="24"/>
          <w:szCs w:val="24"/>
        </w:rPr>
        <w:t xml:space="preserve">	6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 APRENDIZADOS DO DIAGNÓSTICO</w:t>
      </w:r>
      <w:r>
        <w:rPr>
          <w:rFonts w:ascii="Arial" w:cs="Arial" w:eastAsia="Arial" w:hAnsi="Arial"/>
          <w:sz w:val="24"/>
          <w:szCs w:val="24"/>
        </w:rPr>
        <w:t xml:space="preserve">	7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6.1 Revisão das hipóteses iniciais</w:t>
      </w:r>
      <w:r>
        <w:rPr>
          <w:rFonts w:ascii="Arial" w:cs="Arial" w:eastAsia="Arial" w:hAnsi="Arial"/>
          <w:sz w:val="24"/>
          <w:szCs w:val="24"/>
        </w:rPr>
        <w:t xml:space="preserve">	7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6.2 Diagnóstico em cinco frases</w:t>
      </w:r>
      <w:r>
        <w:rPr>
          <w:rFonts w:ascii="Arial" w:cs="Arial" w:eastAsia="Arial" w:hAnsi="Arial"/>
          <w:sz w:val="24"/>
          <w:szCs w:val="24"/>
        </w:rPr>
        <w:t xml:space="preserve">	8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6.3 Aprendizados do processo</w:t>
      </w:r>
      <w:r>
        <w:rPr>
          <w:rFonts w:ascii="Arial" w:cs="Arial" w:eastAsia="Arial" w:hAnsi="Arial"/>
          <w:sz w:val="24"/>
          <w:szCs w:val="24"/>
        </w:rPr>
        <w:t xml:space="preserve">	8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 PROPOSTA DE VALOR</w:t>
      </w:r>
      <w:r>
        <w:rPr>
          <w:rFonts w:ascii="Arial" w:cs="Arial" w:eastAsia="Arial" w:hAnsi="Arial"/>
          <w:sz w:val="24"/>
          <w:szCs w:val="24"/>
        </w:rPr>
        <w:t xml:space="preserve">	8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 ALTERNATIVAS CONSIDERADAS E SOLUÇÃO PRELIMINAR</w:t>
      </w:r>
      <w:r>
        <w:rPr>
          <w:rFonts w:ascii="Arial" w:cs="Arial" w:eastAsia="Arial" w:hAnsi="Arial"/>
          <w:sz w:val="24"/>
          <w:szCs w:val="24"/>
        </w:rPr>
        <w:t xml:space="preserve">	9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 RELAÇÃO PROBLEMA–SOLUÇÃO</w:t>
      </w:r>
      <w:r>
        <w:rPr>
          <w:rFonts w:ascii="Arial" w:cs="Arial" w:eastAsia="Arial" w:hAnsi="Arial"/>
          <w:sz w:val="24"/>
          <w:szCs w:val="24"/>
        </w:rPr>
        <w:t xml:space="preserve">	10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 OBJETIVOS DE DESENVOLVIMENTO SUSTENTÁVEL</w:t>
      </w:r>
      <w:r>
        <w:rPr>
          <w:rFonts w:ascii="Arial" w:cs="Arial" w:eastAsia="Arial" w:hAnsi="Arial"/>
          <w:sz w:val="24"/>
          <w:szCs w:val="24"/>
        </w:rPr>
        <w:t xml:space="preserve">	10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REGISTRO DE DECISÕES</w:t>
      </w:r>
      <w:r>
        <w:rPr>
          <w:rFonts w:ascii="Arial" w:cs="Arial" w:eastAsia="Arial" w:hAnsi="Arial"/>
          <w:sz w:val="24"/>
          <w:szCs w:val="24"/>
        </w:rPr>
        <w:t xml:space="preserve">	10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 PRÓXIMOS PASSOS E CONSIDERAÇÕES FINAIS</w:t>
      </w:r>
      <w:r>
        <w:rPr>
          <w:rFonts w:ascii="Arial" w:cs="Arial" w:eastAsia="Arial" w:hAnsi="Arial"/>
          <w:sz w:val="24"/>
          <w:szCs w:val="24"/>
        </w:rPr>
        <w:t xml:space="preserve">	11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REFERÊNCIAS</w:t>
      </w:r>
      <w:r>
        <w:rPr>
          <w:rFonts w:ascii="Arial" w:cs="Arial" w:eastAsia="Arial" w:hAnsi="Arial"/>
          <w:sz w:val="24"/>
          <w:szCs w:val="24"/>
        </w:rPr>
        <w:t xml:space="preserve">	13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APÊNDICE A – TENTATIVAS DE FOTOGRAMETRIA NO KIRI ENGINE</w:t>
      </w:r>
      <w:r>
        <w:rPr>
          <w:rFonts w:ascii="Arial" w:cs="Arial" w:eastAsia="Arial" w:hAnsi="Arial"/>
          <w:sz w:val="24"/>
          <w:szCs w:val="24"/>
        </w:rPr>
        <w:t xml:space="preserve">	14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APÊNDICE B – MODELO 3D DA MÃO GERADO NO MESHY AI</w:t>
      </w:r>
      <w:r>
        <w:rPr>
          <w:rFonts w:ascii="Arial" w:cs="Arial" w:eastAsia="Arial" w:hAnsi="Arial"/>
          <w:sz w:val="24"/>
          <w:szCs w:val="24"/>
        </w:rPr>
        <w:t xml:space="preserve">	15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APÊNDICE C – MODELO 3D DO DISPOSITIVO</w:t>
      </w:r>
      <w:r>
        <w:rPr>
          <w:rFonts w:ascii="Arial" w:cs="Arial" w:eastAsia="Arial" w:hAnsi="Arial"/>
          <w:sz w:val="24"/>
          <w:szCs w:val="24"/>
        </w:rPr>
        <w:t xml:space="preserve">	16</w:t>
      </w:r>
    </w:p>
    <w:p>
      <w:pPr>
        <w:tabs>
          <w:tab w:val="right" w:pos="9071" w:leader="dot"/>
        </w:tabs>
        <w:spacing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ANEXO A – IMAGEM DE REFERÊNCIA DA POSTURA DA MÃO</w:t>
      </w:r>
      <w:r>
        <w:rPr>
          <w:rFonts w:ascii="Arial" w:cs="Arial" w:eastAsia="Arial" w:hAnsi="Arial"/>
          <w:sz w:val="24"/>
          <w:szCs w:val="24"/>
        </w:rPr>
        <w:t xml:space="preserve">	17</w:t>
      </w:r>
    </w:p>
    <w:p>
      <w:pPr>
        <w:sectPr>
          <w:pgSz w:w="11906" w:h="16838" w:orient="portrait"/>
          <w:pgMar w:top="1701" w:right="1134" w:bottom="1134" w:left="1701" w:header="708" w:footer="708" w:gutter="0"/>
          <w:pgNumType w:start="1"/>
          <w:docGrid w:linePitch="360"/>
        </w:sectPr>
      </w:pP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IDENTIFICAÇÃO DO PROJETO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71"/>
      </w:tblGrid>
      <w:tr>
        <w:trPr>
          <w:tblHeader/>
        </w:trPr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6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Descrição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Equipe</w:t>
            </w:r>
          </w:p>
        </w:tc>
        <w:tc>
          <w:tcPr>
            <w:tcW w:type="dxa" w:w="6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Dispositivo Assistivo 3D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Integrantes</w:t>
            </w:r>
          </w:p>
        </w:tc>
        <w:tc>
          <w:tcPr>
            <w:tcW w:type="dxa" w:w="6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Enzo Mensatto Ferreira (RA 52624600), Winicius Acioli (RA 52625216) e Agenor Ferreira de Campos Junior (RA 52625170)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Título provisório da solução</w:t>
            </w:r>
          </w:p>
        </w:tc>
        <w:tc>
          <w:tcPr>
            <w:tcW w:type="dxa" w:w="6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Dispositivo Assistivo 3D: engate modular para alimentação autônoma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Trilha temática</w:t>
            </w:r>
          </w:p>
        </w:tc>
        <w:tc>
          <w:tcPr>
            <w:tcW w:type="dxa" w:w="6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5. Inclusão, Acessibilidade e Qualidade de Vida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Formato</w:t>
            </w:r>
          </w:p>
        </w:tc>
        <w:tc>
          <w:tcPr>
            <w:tcW w:type="dxa" w:w="6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Produto físico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Docente</w:t>
            </w:r>
          </w:p>
        </w:tc>
        <w:tc>
          <w:tcPr>
            <w:tcW w:type="dxa" w:w="6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Prof. Douglas Turini Sanches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 projeto parte da pergunta norteadora do semestre: como os conhecimentos de Marketing podem contribuir para melhorar a realidade de pessoas, grupos ou comunidades. Neste caso, a equipe investiga por que pessoas com perda de força na mão têm dificuldade para comer sozinhas e, principalmente, por que tantos dispositivos assistivos acabam abandonados por quem os recebe.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CARACTERIZAÇÃO DO CONTEXTO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Algumas condições neuromusculares enfraquecem os músculos da mão e do antebraço enquanto preservam o movimento do ombro e do cotovelo. A doença de Hirayama, também chamada de amiotrofia monomélica, é o exemplo que serviu de referência para o projeto. Descrita pela primeira vez no Japão, ela provoca atrofia assimétrica na mão e no antebraço, começa em geral na adolescência, é mais frequente em homens e compromete atividades de pinça e preensão (Hirayama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et al.</w:t>
      </w:r>
      <w:r>
        <w:rPr>
          <w:rFonts w:ascii="Arial" w:cs="Arial" w:eastAsia="Arial" w:hAnsi="Arial"/>
          <w:sz w:val="24"/>
          <w:szCs w:val="24"/>
        </w:rPr>
        <w:t xml:space="preserve">, 1963; Lay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et al.</w:t>
      </w:r>
      <w:r>
        <w:rPr>
          <w:rFonts w:ascii="Arial" w:cs="Arial" w:eastAsia="Arial" w:hAnsi="Arial"/>
          <w:sz w:val="24"/>
          <w:szCs w:val="24"/>
        </w:rPr>
        <w:t xml:space="preserve">, 2024).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Um aspecto decisivo para o projeto é que o músculo braquiorradial, que ajuda a dobrar o cotovelo, costuma ser poupado. Na prática, a pessoa ainda consegue levar a mão até a boca, mas perde a capacidade de segurar o talher com firmeza. Além disso, a doença tende a progredir por um a dois anos e depois estabilizar, deixando uma sequela permanente na mão (Hassan; Sahni, 2013; Lay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et al.</w:t>
      </w:r>
      <w:r>
        <w:rPr>
          <w:rFonts w:ascii="Arial" w:cs="Arial" w:eastAsia="Arial" w:hAnsi="Arial"/>
          <w:sz w:val="24"/>
          <w:szCs w:val="24"/>
        </w:rPr>
        <w:t xml:space="preserve">, 2024). Isso significa que a dificuldade para comer não é passageira: ela acompanha a pessoa em todas as refeições, todos os dias.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Outras condições, como a esclerose lateral amiotrófica (ELA), a doença de Charcot-Marie-Tooth e a atrofia muscular espinhal, também podem levar à perda de força na mão. No entanto, algumas delas são progressivas e afetam o braço de forma mais ampla, o que exigiria soluções diferentes. Por isso, a equipe delimitou o público conforme descrito na próxima seção.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 PROBLEMA CENTRAL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Seguindo a estrutura de público, dificuldade, contexto e consequência, o problema foi formulado da seguinte forma:</w:t>
      </w:r>
    </w:p>
    <w:p>
      <w:pPr>
        <w:spacing w:after="240" w:before="240" w:line="240"/>
        <w:ind w:left="2268"/>
        <w:jc w:val="both"/>
      </w:pPr>
      <w:r>
        <w:rPr>
          <w:rFonts w:ascii="Arial" w:cs="Arial" w:eastAsia="Arial" w:hAnsi="Arial"/>
          <w:sz w:val="20"/>
          <w:szCs w:val="20"/>
        </w:rPr>
        <w:t xml:space="preserve">Pessoas com atrofia muscular de mão e antebraço que preservam a mobilidade do ombro e do cotovelo não conseguem segurar talheres com força e estabilidade suficientes durante as refeições diárias, em casa e em situações sociais, o que gera dependência de terceiros em uma atividade básica da vida diária. Além disso, parte das soluções existentes é abandonada pelos próprios usuários.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 formulação separa três níveis que costumam ser confundidos. O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sintoma</w:t>
      </w:r>
      <w:r>
        <w:rPr>
          <w:rFonts w:ascii="Arial" w:cs="Arial" w:eastAsia="Arial" w:hAnsi="Arial"/>
          <w:sz w:val="24"/>
          <w:szCs w:val="24"/>
        </w:rPr>
        <w:t xml:space="preserve"> é a dificuldade visível para segurar o talher. O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problema</w:t>
      </w:r>
      <w:r>
        <w:rPr>
          <w:rFonts w:ascii="Arial" w:cs="Arial" w:eastAsia="Arial" w:hAnsi="Arial"/>
          <w:sz w:val="24"/>
          <w:szCs w:val="24"/>
        </w:rPr>
        <w:t xml:space="preserve"> é a perda de autonomia na alimentação. As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causas</w:t>
      </w:r>
      <w:r>
        <w:rPr>
          <w:rFonts w:ascii="Arial" w:cs="Arial" w:eastAsia="Arial" w:hAnsi="Arial"/>
          <w:sz w:val="24"/>
          <w:szCs w:val="24"/>
        </w:rPr>
        <w:t xml:space="preserve"> envolvem a atrofia dos músculos da mão e a inadequação das soluções disponíveis, que ainda são tratadas como hipóteses a confirmar com o público.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 problema foi submetido ao teste dos seis critérios apresentado em aula: ele é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real</w:t>
      </w:r>
      <w:r>
        <w:rPr>
          <w:rFonts w:ascii="Arial" w:cs="Arial" w:eastAsia="Arial" w:hAnsi="Arial"/>
          <w:sz w:val="24"/>
          <w:szCs w:val="24"/>
        </w:rPr>
        <w:t xml:space="preserve"> (condição clínica documentada),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relevante</w:t>
      </w:r>
      <w:r>
        <w:rPr>
          <w:rFonts w:ascii="Arial" w:cs="Arial" w:eastAsia="Arial" w:hAnsi="Arial"/>
          <w:sz w:val="24"/>
          <w:szCs w:val="24"/>
        </w:rPr>
        <w:t xml:space="preserve"> (afeta uma atividade repetida três vezes ao dia),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específico</w:t>
      </w:r>
      <w:r>
        <w:rPr>
          <w:rFonts w:ascii="Arial" w:cs="Arial" w:eastAsia="Arial" w:hAnsi="Arial"/>
          <w:sz w:val="24"/>
          <w:szCs w:val="24"/>
        </w:rPr>
        <w:t xml:space="preserve"> (define quem sofre e em que situação),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investigável</w:t>
      </w:r>
      <w:r>
        <w:rPr>
          <w:rFonts w:ascii="Arial" w:cs="Arial" w:eastAsia="Arial" w:hAnsi="Arial"/>
          <w:sz w:val="24"/>
          <w:szCs w:val="24"/>
        </w:rPr>
        <w:t xml:space="preserve"> (há literatura e profissionais que atendem esse perfil),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compatível</w:t>
      </w:r>
      <w:r>
        <w:rPr>
          <w:rFonts w:ascii="Arial" w:cs="Arial" w:eastAsia="Arial" w:hAnsi="Arial"/>
          <w:sz w:val="24"/>
          <w:szCs w:val="24"/>
        </w:rPr>
        <w:t xml:space="preserve"> com a trilha escolhida e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não embute a solução</w:t>
      </w:r>
      <w:r>
        <w:rPr>
          <w:rFonts w:ascii="Arial" w:cs="Arial" w:eastAsia="Arial" w:hAnsi="Arial"/>
          <w:sz w:val="24"/>
          <w:szCs w:val="24"/>
        </w:rPr>
        <w:t xml:space="preserve"> no enunciado.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Do ponto de vista de Marketing, o dado mais relevante é o de abandono: em uma pesquisa com 227 adultos com deficiência, 29,3% dos dispositivos assistivos foram abandonados por completo (Phillips; Zhao, 1993). Assim, a pergunta do projeto deixou de ser apenas como fazer um talher adaptado e passou a ser como fazer um dispositivo que a pessoa queira continuar usando.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 PÚBLICOS RELACIONADOS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Como ocorre em muitos projetos de impacto social, quem usa a solução nem sempre é quem paga por ela ou quem a indica. O mapeamento dos públicos ficou assim:</w:t>
      </w:r>
    </w:p>
    <w:p>
      <w:pPr>
        <w:spacing w:after="60" w:before="240" w:line="24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Quadro 1</w:t>
      </w:r>
      <w:r>
        <w:rPr>
          <w:rFonts w:ascii="Arial" w:cs="Arial" w:eastAsia="Arial" w:hAnsi="Arial"/>
          <w:sz w:val="20"/>
          <w:szCs w:val="20"/>
        </w:rPr>
        <w:t xml:space="preserve"> – Mapa de públicos da solução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900"/>
        <w:gridCol w:w="3271"/>
      </w:tblGrid>
      <w:tr>
        <w:trPr>
          <w:tblHeader/>
        </w:trPr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Papel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Quem é</w:t>
            </w:r>
          </w:p>
        </w:tc>
        <w:tc>
          <w:tcPr>
            <w:tcW w:type="dxa" w:w="3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Relação com a solução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Beneficiário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Pessoa com atrofia de mão e antebraço, com ombro e cotovelo preservados</w:t>
            </w:r>
          </w:p>
        </w:tc>
        <w:tc>
          <w:tcPr>
            <w:tcW w:type="dxa" w:w="3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Recupera a autonomia para comer sozinha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Usuário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 próprio beneficiário; em alguns casos, também o cuidador que ajuda a colocar o dispositivo</w:t>
            </w:r>
          </w:p>
        </w:tc>
        <w:tc>
          <w:tcPr>
            <w:tcW w:type="dxa" w:w="3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Utiliza e ajusta o dispositivo no dia a dia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Cliente ou pagador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Família, planos de saúde, serviços públicos de reabilitação</w:t>
            </w:r>
          </w:p>
        </w:tc>
        <w:tc>
          <w:tcPr>
            <w:tcW w:type="dxa" w:w="3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Custeia a aquisição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Financiador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Editais de fomento, programas de responsabilidade social, financiamento coletivo</w:t>
            </w:r>
          </w:p>
        </w:tc>
        <w:tc>
          <w:tcPr>
            <w:tcW w:type="dxa" w:w="3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Pode viabilizar a produção em escala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Parceiro</w:t>
            </w:r>
          </w:p>
        </w:tc>
        <w:tc>
          <w:tcPr>
            <w:tcW w:type="dxa" w:w="3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Terapeutas ocupacionais, fisioterapeutas, cursos de Fisioterapia e Psicologia da UniMax, associações de pacientes</w:t>
            </w:r>
          </w:p>
        </w:tc>
        <w:tc>
          <w:tcPr>
            <w:tcW w:type="dxa" w:w="3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Indica a solução, apoia a validação e dá acesso ao público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 terapeuta ocupacional merece destaque: além de ser uma fonte de pesquisa, ele é um canal natural de indicação, porque é quem avalia e recomenda dispositivos de adaptação na prática clínica.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TRIANGULAÇÃO DE EVIDÊNCIAS</w:t>
      </w:r>
    </w:p>
    <w:p>
      <w:pPr>
        <w:pStyle w:val="Heading2"/>
        <w:spacing w:after="24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 Método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 equipe adotou a triangulação como método. Segundo Minayo (2012), uma análise qualitativa confiável combina diferentes técnicas e compara visões distintas sobre o mesmo fenômeno. O plano previa três fontes: literatura científica, entrevistas com pessoas que vivem a condição e com profissionais que as atendem, e observação do uso real.</w:t>
      </w:r>
    </w:p>
    <w:p>
      <w:pPr>
        <w:pStyle w:val="Heading2"/>
        <w:spacing w:after="24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 Evidências documentais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 revisão de literatura foi concluída e reuniu sete fontes, sintetizadas no quadro a seguir.</w:t>
      </w:r>
    </w:p>
    <w:p>
      <w:pPr>
        <w:spacing w:after="60" w:before="240" w:line="24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Quadro 2</w:t>
      </w:r>
      <w:r>
        <w:rPr>
          <w:rFonts w:ascii="Arial" w:cs="Arial" w:eastAsia="Arial" w:hAnsi="Arial"/>
          <w:sz w:val="20"/>
          <w:szCs w:val="20"/>
        </w:rPr>
        <w:t xml:space="preserve"> – Síntese das evidências documentais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200"/>
        <w:gridCol w:w="2871"/>
      </w:tblGrid>
      <w:tr>
        <w:trPr>
          <w:tblHeader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Fonte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Principal achado</w:t>
            </w:r>
          </w:p>
        </w:tc>
        <w:tc>
          <w:tcPr>
            <w:tcW w:type="dxa" w:w="2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Contribuição para o projeto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Hirayama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(1963)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Primeira descrição da doença: atrofia juvenil em um só membro, restrita à mão e ao antebraço</w:t>
            </w:r>
          </w:p>
        </w:tc>
        <w:tc>
          <w:tcPr>
            <w:tcW w:type="dxa" w:w="2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Define a origem do problema e o perfil do público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Hassan e Sahni (2013)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Revisão que unifica os nomes da doença e indica curso não progressivo, com sequela estável</w:t>
            </w:r>
          </w:p>
        </w:tc>
        <w:tc>
          <w:tcPr>
            <w:tcW w:type="dxa" w:w="2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 dispositivo precisa ser de uso diário e contínuo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Lay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(2024)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Mecanismo atual da doença; braquiorradial poupado e estabilização após um a dois anos</w:t>
            </w:r>
          </w:p>
        </w:tc>
        <w:tc>
          <w:tcPr>
            <w:tcW w:type="dxa" w:w="2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 pessoa leva a mão à boca sozinha: o foco é só a pegada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Phillips e Zhao (1993)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29,3% dos dispositivos abandonados por 227 adultos; fatores: opinião do usuário ignorada, aquisição fácil demais, desempenho ruim e mudança de necessidades</w:t>
            </w:r>
          </w:p>
        </w:tc>
        <w:tc>
          <w:tcPr>
            <w:tcW w:type="dxa" w:w="2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Usar talher comum, permitir troca fácil e ouvir o usuário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Longatelli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(2021)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Ensaio clínico com 36 pessoas: força insuficiente foi barreira para dispositivos passivos; usabilidade medida pela escala SUS</w:t>
            </w:r>
          </w:p>
        </w:tc>
        <w:tc>
          <w:tcPr>
            <w:tcW w:type="dxa" w:w="2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Evitar exigir força de preensão; usar a SUS nos testes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Luo, Chen e Xie (2022)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Talher 3D sob medida teve desempenho igual ou superior ao punho universal em 18 pacientes com sequela de queimadura</w:t>
            </w:r>
          </w:p>
        </w:tc>
        <w:tc>
          <w:tcPr>
            <w:tcW w:type="dxa" w:w="2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Valida a impressão 3D personalizada como caminho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Minayo (2012)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Passos para uma análise qualitativa confiável</w:t>
            </w:r>
          </w:p>
        </w:tc>
        <w:tc>
          <w:tcPr>
            <w:tcW w:type="dxa" w:w="2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Base do método de triangulação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(2026), com base nas referências citadas.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Sobre o estudo de Luo, Chen e Xie (2022), a equipe registrou maior proporção de refeições autônomas com o talher impresso em 3D do que com o punho universal. Como o texto completo está em chinês e sem acesso aberto, a leitura se baseia no resumo, e a verificação do desenho metodológico e das medidas usadas permanece pendente. O público do estudo também é diferente (pacientes queimados), o que limita a comparação direta.</w:t>
      </w:r>
    </w:p>
    <w:p>
      <w:pPr>
        <w:pStyle w:val="Heading2"/>
        <w:spacing w:after="24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 Evidências de campo e tentativas de contato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 projeto começou a partir do caso de um voluntário do círculo social da equipe, com dificuldade motora na mão, cuja situação motivou a investigação e permitiu as primeiras tentativas de modelagem da mão. Por respeito à privacidade, e porque não houve autorização formal para uso de dados, o voluntário não é identificado neste documento. Depois de algumas sessões, o contato foi interrompido.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Em seguida, a equipe procurou a coordenação do curso para organizar uma reunião interdisciplinar com os cursos de Fisioterapia e Psicologia da UniMax, com o objetivo de ouvir profissionais e acessar pessoas com esse perfil. Até a data desta entrega, a reunião não ocorreu por incompatibilidade de agendas.</w:t>
      </w:r>
    </w:p>
    <w:p>
      <w:pPr>
        <w:pStyle w:val="Heading2"/>
        <w:spacing w:after="24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 Recorrências, convergências, contradições e lacunas</w:t>
      </w:r>
    </w:p>
    <w:p>
      <w:pPr>
        <w:spacing w:after="60" w:before="240" w:line="24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Quadro 3</w:t>
      </w:r>
      <w:r>
        <w:rPr>
          <w:rFonts w:ascii="Arial" w:cs="Arial" w:eastAsia="Arial" w:hAnsi="Arial"/>
          <w:sz w:val="20"/>
          <w:szCs w:val="20"/>
        </w:rPr>
        <w:t xml:space="preserve"> – Análise das evidências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71"/>
      </w:tblGrid>
      <w:tr>
        <w:trPr>
          <w:tblHeader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Tipo de achado</w:t>
            </w:r>
          </w:p>
        </w:tc>
        <w:tc>
          <w:tcPr>
            <w:tcW w:type="dxa" w:w="6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 que foi identificado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Recorrências</w:t>
            </w:r>
          </w:p>
        </w:tc>
        <w:tc>
          <w:tcPr>
            <w:tcW w:type="dxa" w:w="6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 personalização aparece em várias fontes como fator de adesão; a perda de preensão com braço preservado se repete nas descrições clínicas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Convergências</w:t>
            </w:r>
          </w:p>
        </w:tc>
        <w:tc>
          <w:tcPr>
            <w:tcW w:type="dxa" w:w="6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Literatura clínica e estudos de dispositivos apontam na mesma direção: a solução deve focar a pegada, ser leve, simples e ajustada ao usuário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Contradições</w:t>
            </w:r>
          </w:p>
        </w:tc>
        <w:tc>
          <w:tcPr>
            <w:tcW w:type="dxa" w:w="6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Um dispositivo mais pesado ajuda quem tem tremor, mas prejudica quem tem fraqueza acentuada; a eficácia varia muito entre perfis clínicos; materiais comuns de impressão 3D são porosos e inadequados ao contato com alimentos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Lacunas</w:t>
            </w:r>
          </w:p>
        </w:tc>
        <w:tc>
          <w:tcPr>
            <w:tcW w:type="dxa" w:w="68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Ausência de relato de quem vive a condição e de observação do uso real; prevalência dessas condições no Brasil; custo real de produção; confirmação da postura de mão de referência com profissionais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 equipe assume de forma explícita a principal limitação deste diagnóstico: até aqui, a pesquisa foi feita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sobre</w:t>
      </w:r>
      <w:r>
        <w:rPr>
          <w:rFonts w:ascii="Arial" w:cs="Arial" w:eastAsia="Arial" w:hAnsi="Arial"/>
          <w:sz w:val="24"/>
          <w:szCs w:val="24"/>
        </w:rPr>
        <w:t xml:space="preserve"> as pessoas, e ainda não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 elas. Por isso, a triangulação está incompleta, e a escuta de usuários e profissionais é a prioridade da próxima etapa.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 APRENDIZADOS DO DIAGNÓSTICO</w:t>
      </w:r>
    </w:p>
    <w:p>
      <w:pPr>
        <w:pStyle w:val="Heading2"/>
        <w:spacing w:after="24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 Revisão das hipóteses iniciais</w:t>
      </w:r>
    </w:p>
    <w:p>
      <w:pPr>
        <w:spacing w:after="60" w:before="240" w:line="24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Quadro 4</w:t>
      </w:r>
      <w:r>
        <w:rPr>
          <w:rFonts w:ascii="Arial" w:cs="Arial" w:eastAsia="Arial" w:hAnsi="Arial"/>
          <w:sz w:val="20"/>
          <w:szCs w:val="20"/>
        </w:rPr>
        <w:t xml:space="preserve"> – Hipóteses iniciais e veredito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271"/>
        <w:gridCol w:w="1600"/>
      </w:tblGrid>
      <w:tr>
        <w:trPr>
          <w:tblHeader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Hipótese inicial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Evidência favorável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Ressalva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Veredito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Autonomia: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um engate de preensão impresso em 3D permitiria que a pessoa voltasse a comer de forma autônoma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Talher 3D sob medida teve desempenho igual ou superior ao punho universal (Luo; Chen; Xie, 2022)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Público diferente e nenhum teste da equipe com usuários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Parcialmente sustentada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Personalização: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a personalização reduziria o abandono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Ignorar a opinião do usuário e o desempenho ruim levam ao abandono (Phillips; Zhao, 1993)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Estudo antigo e com deficiências variadas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Parcialmente sustentada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Acessibilidade: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baixo custo e fabricação local tornariam a solução acessível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Impressão 3D permite produção local e sob medida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Custo real de produção ainda não calculado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Inconclusiva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Nenhuma hipótese foi refutada, mas todas precisam de dados primários para avançar. Esse resultado é coerente com a principal lacuna identificada na seção anterior.</w:t>
      </w:r>
    </w:p>
    <w:p>
      <w:pPr>
        <w:pStyle w:val="Heading2"/>
        <w:spacing w:after="24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 Diagnóstico em cinco frases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Investigamos</w:t>
      </w:r>
      <w:r>
        <w:rPr>
          <w:rFonts w:ascii="Arial" w:cs="Arial" w:eastAsia="Arial" w:hAnsi="Arial"/>
          <w:sz w:val="24"/>
          <w:szCs w:val="24"/>
        </w:rPr>
        <w:t xml:space="preserve"> a dificuldade de pessoas com atrofia muscular de mão e antebraço para comer de forma autônoma, tendo a doença de Hirayama como condição de referência.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Inicialmente acreditávamos que</w:t>
      </w:r>
      <w:r>
        <w:rPr>
          <w:rFonts w:ascii="Arial" w:cs="Arial" w:eastAsia="Arial" w:hAnsi="Arial"/>
          <w:sz w:val="24"/>
          <w:szCs w:val="24"/>
        </w:rPr>
        <w:t xml:space="preserve"> bastaria um talher adaptado, impresso em 3D, para devolver essa autonomia.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Entretanto, as evidências mostraram que</w:t>
      </w:r>
      <w:r>
        <w:rPr>
          <w:rFonts w:ascii="Arial" w:cs="Arial" w:eastAsia="Arial" w:hAnsi="Arial"/>
          <w:sz w:val="24"/>
          <w:szCs w:val="24"/>
        </w:rPr>
        <w:t xml:space="preserve"> quase um terço dos dispositivos assistivos é abandonado, que força insuficiente é uma barreira para soluções passivas e que materiais comuns de impressão 3D não devem tocar o alimento.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Identificamos como causas relevantes</w:t>
      </w:r>
      <w:r>
        <w:rPr>
          <w:rFonts w:ascii="Arial" w:cs="Arial" w:eastAsia="Arial" w:hAnsi="Arial"/>
          <w:sz w:val="24"/>
          <w:szCs w:val="24"/>
        </w:rPr>
        <w:t xml:space="preserve"> a perda de preensão com o braço preservado, soluções que não consideram a opinião do usuário e dispositivos que exigem força ou não acompanham a mudança de necessidades.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Portanto, nosso diagnóstico atual é</w:t>
      </w:r>
      <w:r>
        <w:rPr>
          <w:rFonts w:ascii="Arial" w:cs="Arial" w:eastAsia="Arial" w:hAnsi="Arial"/>
          <w:sz w:val="24"/>
          <w:szCs w:val="24"/>
        </w:rPr>
        <w:t xml:space="preserve"> que o problema não é apenas a falta de um talher adaptado, mas a falta de um dispositivo que substitua a pegada sem exigir força, use talheres comuns, seja fácil de trocar e seja construído com a participação do usuário, para que ele continue sendo usado.</w:t>
      </w:r>
    </w:p>
    <w:p>
      <w:pPr>
        <w:pStyle w:val="Heading2"/>
        <w:spacing w:after="24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6.3 Aprendizados do processo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 processo de modelagem também gerou aprendizados. A primeira opção, um aplicativo pago de escaneamento, foi descartada pelo custo e pela exigência de um celular recente. A equipe migrou para a fotogrametria com o aplicativo KIRI Engine, com tentativas em 17, 18 e 22 de agosto de 2026, que não geraram um modelo utilizável (Apêndice A). Com a interrupção do contato com o voluntário, o modelo da mão foi gerado com a ferramenta Meshy AI em 17 e 22 de setembro de 2026, a partir de uma imagem de referência da postura da mão (Apêndice B e Anexo A).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 principal aprendizado é que depender de um único voluntário é um risco para o projeto. Além disso, o modelo gerado por inteligência artificial tem proporções aproximadas, e a postura de referência ainda precisa ser confirmada com profissionais de Fisioterapia.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 PROPOSTA DE VALOR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Seguindo o princípio de que o cliente não compra o atributo, mas o efeito que ele produz em sua vida, a proposta de valor foi formulada em termos de benefício:</w:t>
      </w:r>
    </w:p>
    <w:p>
      <w:pPr>
        <w:spacing w:after="240" w:before="240" w:line="240"/>
        <w:ind w:left="2268"/>
        <w:jc w:val="both"/>
      </w:pPr>
      <w:r>
        <w:rPr>
          <w:rFonts w:ascii="Arial" w:cs="Arial" w:eastAsia="Arial" w:hAnsi="Arial"/>
          <w:sz w:val="20"/>
          <w:szCs w:val="20"/>
        </w:rPr>
        <w:t xml:space="preserve">Devolver a pessoas com atrofia de mão e antebraço a autonomia para comer sozinhas, usando os próprios talheres, com um dispositivo discreto, fácil de colocar e de trocar, que não exige força para segurar.</w:t>
      </w:r>
    </w:p>
    <w:p>
      <w:pPr>
        <w:spacing w:after="60" w:before="240" w:line="24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Quadro 5</w:t>
      </w:r>
      <w:r>
        <w:rPr>
          <w:rFonts w:ascii="Arial" w:cs="Arial" w:eastAsia="Arial" w:hAnsi="Arial"/>
          <w:sz w:val="20"/>
          <w:szCs w:val="20"/>
        </w:rPr>
        <w:t xml:space="preserve"> – Atributos e benefícios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271"/>
      </w:tblGrid>
      <w:tr>
        <w:trPr>
          <w:tblHeader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Atributo</w:t>
            </w:r>
          </w:p>
        </w:tc>
        <w:tc>
          <w:tcPr>
            <w:tcW w:type="dxa" w:w="5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Benefício para o usuário</w:t>
            </w:r>
          </w:p>
        </w:tc>
      </w:tr>
      <w:tr>
        <w:trPr>
          <w:tblHeader w:val="false"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Clipe nas costas da mão</w:t>
            </w:r>
          </w:p>
        </w:tc>
        <w:tc>
          <w:tcPr>
            <w:tcW w:type="dxa" w:w="5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Segurar o talher sem precisar de força de preensão</w:t>
            </w:r>
          </w:p>
        </w:tc>
      </w:tr>
      <w:tr>
        <w:trPr>
          <w:tblHeader w:val="false"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Encaixe magnético</w:t>
            </w:r>
          </w:p>
        </w:tc>
        <w:tc>
          <w:tcPr>
            <w:tcW w:type="dxa" w:w="5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Trocar garfo e colher sem ajuda</w:t>
            </w:r>
          </w:p>
        </w:tc>
      </w:tr>
      <w:tr>
        <w:trPr>
          <w:tblHeader w:val="false"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Aceita talheres comuns</w:t>
            </w:r>
          </w:p>
        </w:tc>
        <w:tc>
          <w:tcPr>
            <w:tcW w:type="dxa" w:w="5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Comer com os próprios talheres, sem depender de um talher especial</w:t>
            </w:r>
          </w:p>
        </w:tc>
      </w:tr>
      <w:tr>
        <w:trPr>
          <w:tblHeader w:val="false"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Dispositivo não toca no alimento</w:t>
            </w:r>
          </w:p>
        </w:tc>
        <w:tc>
          <w:tcPr>
            <w:tcW w:type="dxa" w:w="5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Comer com segurança e higiene</w:t>
            </w:r>
          </w:p>
        </w:tc>
      </w:tr>
      <w:tr>
        <w:trPr>
          <w:tblHeader w:val="false"/>
        </w:trPr>
        <w:tc>
          <w:tcPr>
            <w:tcW w:type="dxa" w:w="3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Impressão 3D sob medida</w:t>
            </w:r>
          </w:p>
        </w:tc>
        <w:tc>
          <w:tcPr>
            <w:tcW w:type="dxa" w:w="5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Um dispositivo ajustado à própria mão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 equipe entende que a autonomia pode trazer também mais confiança e autoestima nas refeições, especialmente em situações sociais. Esses efeitos, porém, ainda não foram medidos e serão tratados como hipóteses a validar com o público na APEX II.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 ALTERNATIVAS CONSIDERADAS E SOLUÇÃO PRELIMINAR</w:t>
      </w:r>
    </w:p>
    <w:p>
      <w:pPr>
        <w:spacing w:after="60" w:before="240" w:line="24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Quadro 6</w:t>
      </w:r>
      <w:r>
        <w:rPr>
          <w:rFonts w:ascii="Arial" w:cs="Arial" w:eastAsia="Arial" w:hAnsi="Arial"/>
          <w:sz w:val="20"/>
          <w:szCs w:val="20"/>
        </w:rPr>
        <w:t xml:space="preserve"> – Alternativas avaliadas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200"/>
        <w:gridCol w:w="2271"/>
      </w:tblGrid>
      <w:tr>
        <w:trPr>
          <w:tblHeader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Alternativa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Avaliação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Decisão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Punho universal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Solução padrão em reabilitação, mas com problemas de adequação ao usuário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Mantido como referência de comparação nos testes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Prótese ou órtese sob encomenda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Custo inacessível para boa parte do público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Descartada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Suporte de braço (exoesqueleto)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Resolve fraqueza de ombro e cotovelo, que não é o caso do público (Longatelli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, 2021)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Descartado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Talher adaptado impresso em 3D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Materiais porosos em contato com o alimento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Descartado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Engate modular impresso em 3D que segura talher comum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Foca a pegada, não toca no alimento e permite troca</w:t>
            </w:r>
          </w:p>
        </w:tc>
        <w:tc>
          <w:tcPr>
            <w:tcW w:type="dxa" w:w="2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Escolhida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 solução preliminar é um engate modular impresso em 3D. Uma barra se apoia nos dedos e sai entre o polegar e o indicador; um clipe em U passa pelas costas da mão e mantém o dispositivo no lugar, sem exigir força; e um encaixe magnético recebe garfo ou colher comuns (Apêndice C). A equipe já desenvolveu o modelo digital e está na fase de impressão do protótipo físico.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 RELAÇÃO PROBLEMA–SOLUÇÃO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Cada característica da solução responde a uma evidência levantada no diagnóstico:</w:t>
      </w:r>
    </w:p>
    <w:p>
      <w:pPr>
        <w:spacing w:after="60" w:before="240" w:line="24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Quadro 7</w:t>
      </w:r>
      <w:r>
        <w:rPr>
          <w:rFonts w:ascii="Arial" w:cs="Arial" w:eastAsia="Arial" w:hAnsi="Arial"/>
          <w:sz w:val="20"/>
          <w:szCs w:val="20"/>
        </w:rPr>
        <w:t xml:space="preserve"> – Evidência e decisão de projeto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271"/>
      </w:tblGrid>
      <w:tr>
        <w:trPr>
          <w:tblHeader/>
        </w:trP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Evidência</w:t>
            </w:r>
          </w:p>
        </w:tc>
        <w:tc>
          <w:tcPr>
            <w:tcW w:type="dxa" w:w="4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Decisão de projeto</w:t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 braquiorradial é poupado e a pessoa leva a mão à boca (Lay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, 2024)</w:t>
            </w:r>
          </w:p>
        </w:tc>
        <w:tc>
          <w:tcPr>
            <w:tcW w:type="dxa" w:w="4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 dispositivo não sustenta o braço, só substitui a pegada</w:t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Força insuficiente é barreira para soluções passivas (Longatelli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, 2021)</w:t>
            </w:r>
          </w:p>
        </w:tc>
        <w:tc>
          <w:tcPr>
            <w:tcW w:type="dxa" w:w="4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Clipe dorsal que dispensa força de preensão</w:t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Necessidades mudam e levam ao abandono (Phillips; Zhao, 1993)</w:t>
            </w:r>
          </w:p>
        </w:tc>
        <w:tc>
          <w:tcPr>
            <w:tcW w:type="dxa" w:w="4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Encaixe magnético para trocar garfo e colher</w:t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Opinião do usuário ignorada leva ao abandono (Phillips; Zhao, 1993)</w:t>
            </w:r>
          </w:p>
        </w:tc>
        <w:tc>
          <w:tcPr>
            <w:tcW w:type="dxa" w:w="4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Cocriação e validação com usuários na próxima etapa</w:t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Sequela estável e permanente (Hassan; Sahni, 2013)</w:t>
            </w:r>
          </w:p>
        </w:tc>
        <w:tc>
          <w:tcPr>
            <w:tcW w:type="dxa" w:w="4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Dispositivo pensado para uso diário e contínuo</w:t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Materiais de impressão 3D são porosos</w:t>
            </w:r>
          </w:p>
        </w:tc>
        <w:tc>
          <w:tcPr>
            <w:tcW w:type="dxa" w:w="4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 dispositivo não entra em contato com o alimento</w:t>
            </w:r>
          </w:p>
        </w:tc>
      </w:tr>
      <w:tr>
        <w:trPr>
          <w:tblHeader w:val="false"/>
        </w:trP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Talher 3D sob medida funciona ao menos tão bem quanto o punho universal (Luo; Chen; Xie, 2022)</w:t>
            </w:r>
          </w:p>
        </w:tc>
        <w:tc>
          <w:tcPr>
            <w:tcW w:type="dxa" w:w="42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Impressão 3D personalizada como forma de produção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 OBJETIVOS DE DESENVOLVIMENTO SUSTENTÁVEL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 projeto se relaciona inicialmente a dois Objetivos de Desenvolvimento Sustentável da Agenda 2030: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ODS 3, Saúde e Bem-Estar:</w:t>
      </w:r>
      <w:r>
        <w:rPr>
          <w:rFonts w:ascii="Arial" w:cs="Arial" w:eastAsia="Arial" w:hAnsi="Arial"/>
          <w:sz w:val="24"/>
          <w:szCs w:val="24"/>
        </w:rPr>
        <w:t xml:space="preserve"> a solução busca ampliar a autonomia e a qualidade de vida em uma atividade básica da vida diária.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ODS 10, Redução das Desigualdades:</w:t>
      </w:r>
      <w:r>
        <w:rPr>
          <w:rFonts w:ascii="Arial" w:cs="Arial" w:eastAsia="Arial" w:hAnsi="Arial"/>
          <w:sz w:val="24"/>
          <w:szCs w:val="24"/>
        </w:rPr>
        <w:t xml:space="preserve"> a produção local e de baixo custo pode tornar a tecnologia assistiva acessível a pessoas que o mercado convencional não atende.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 relação com os ODS será revista na APEX II, depois dos testes com o público.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 REGISTRO DE DECISÕES</w:t>
      </w:r>
    </w:p>
    <w:p>
      <w:pPr>
        <w:spacing w:after="60" w:before="240" w:line="24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Quadro 8</w:t>
      </w:r>
      <w:r>
        <w:rPr>
          <w:rFonts w:ascii="Arial" w:cs="Arial" w:eastAsia="Arial" w:hAnsi="Arial"/>
          <w:sz w:val="20"/>
          <w:szCs w:val="20"/>
        </w:rPr>
        <w:t xml:space="preserve"> – Registro de decisões da equipe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800"/>
        <w:gridCol w:w="2600"/>
        <w:gridCol w:w="2171"/>
      </w:tblGrid>
      <w:tr>
        <w:trPr>
          <w:tblHeader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Decisão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Justificativa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Evidência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Início do projeto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Engate que segura talher comum, sem contato com o alimento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Evitar talher especial e problemas de higiene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Phillips e Zhao (1993); materiais porosos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Início do projeto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Descartar aplicativo pago de escaneamento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Custo alto e exigência de celular recente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Pesquisa de ferramentas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Início do projeto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Adotar fotogrametria com o KIRI Engine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Alternativa acessível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Pesquisa de ferramentas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17, 18 e 22/08/2026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Tentativas de modelagem da mão por fotogrametria, sem sucesso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Gerar o modelo digital de uma mão real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Apêndice A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Agosto/2026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Após a interrupção do contato com o voluntário, buscar parceria com Fisioterapia e Psicologia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Garantir acesso a profissionais e ao público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Contato com a coordenação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17 e 22/09/2026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Gerar o modelo da mão com o Meshy AI a partir de imagem de referência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Sem voluntário e sem sucesso na fotogrametria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Apêndice B; Anexo A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Setembro/2026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Mecanismo magnético para troca de talher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Troca fácil e firme durante o uso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Phillips e Zhao (1993)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Setembro/2026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Barra na palma com clipe nas costas da mão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Fixar o dispositivo sem exigir força de preensão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Longatelli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(2021); Apêndice C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Setembro/2026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Iniciar a impressão do protótipo físico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Ter um MVP tangível para testar</w:t>
            </w:r>
          </w:p>
        </w:tc>
        <w:tc>
          <w:tcPr>
            <w:tcW w:type="dxa" w:w="217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Protótipo em produção</w:t>
            </w:r>
          </w:p>
        </w:tc>
      </w:tr>
    </w:tbl>
    <w:p>
      <w:pPr>
        <w:spacing w:after="240" w:before="60" w:line="240"/>
        <w:jc w:val="left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pPr>
        <w:pStyle w:val="Heading1"/>
        <w:spacing w:after="360" w:before="360" w:line="3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 PRÓXIMOS PASSOS E CONSIDERAÇÕES FINAIS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O diagnóstico indica que o problema é real, delimitado e relevante, e que a direção escolhida é coerente com as evidências. A principal limitação é a ausência de dados primários. Por isso, antes do desenvolvimento final, a equipe executará as seguintes ações: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entrevistas com pessoas com atrofia de mão e antebraço que preservem a mobilidade do braço;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entrevistas com terapeutas ocupacionais e fisioterapeutas, incluindo a confirmação da postura de mão usada como referência;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realização da reunião interdisciplinar com os cursos de Fisioterapia e Psicologia;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levantamento da prevalência dessas condições no Brasil;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cálculo do custo real de produção do dispositivo;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verificação do desenho metodológico do estudo de Luo, Chen e Xie (2022);</w:t>
      </w:r>
    </w:p>
    <w:p>
      <w:pPr>
        <w:pStyle w:val="ListParagraph"/>
        <w:numPr>
          <w:ilvl w:val="0"/>
          <w:numId w:val="2"/>
        </w:numPr>
        <w:spacing w: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teste do protótipo com o público, comparando-o com o punho universal e medindo a usabilidade pela escala SUS, como no estudo de Longatelli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et al.</w:t>
      </w:r>
      <w:r>
        <w:rPr>
          <w:rFonts w:ascii="Arial" w:cs="Arial" w:eastAsia="Arial" w:hAnsi="Arial"/>
          <w:sz w:val="24"/>
          <w:szCs w:val="24"/>
        </w:rPr>
        <w:t xml:space="preserve"> (2021).</w:t>
      </w:r>
    </w:p>
    <w:p>
      <w:pPr>
        <w:spacing w:after="0" w:line="3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 recomendação da equipe é que o projeto prossiga, condicionado à execução da pesquisa de campo. Mais do que criar um talher adaptado, o objetivo é aplicar o olhar de Marketing a um produto de impacto social: entender o que faz uma pessoa continuar usando um dispositivo assistivo e construir a solução a partir disso.</w:t>
      </w:r>
    </w:p>
    <w:p>
      <w:r>
        <w:br w:type="page"/>
      </w:r>
    </w:p>
    <w:p>
      <w:pPr>
        <w:pStyle w:val="Heading1"/>
        <w:spacing w:after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REFERÊNCIAS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EBRAHEIM, Nabil.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Intrinsic minus &amp; intrisic plus hand</w:t>
      </w:r>
      <w:r>
        <w:rPr>
          <w:rFonts w:ascii="Arial" w:cs="Arial" w:eastAsia="Arial" w:hAnsi="Arial"/>
          <w:sz w:val="24"/>
          <w:szCs w:val="24"/>
        </w:rPr>
        <w:t xml:space="preserve">: everything you need to know. [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S. l.: s. n.</w:t>
      </w:r>
      <w:r>
        <w:rPr>
          <w:rFonts w:ascii="Arial" w:cs="Arial" w:eastAsia="Arial" w:hAnsi="Arial"/>
          <w:sz w:val="24"/>
          <w:szCs w:val="24"/>
        </w:rPr>
        <w:t xml:space="preserve">], 9 jul. 2021. 1 vídeo (3 min 8 s). Publicado pelo canal nabil ebraheim. Disponível em: https://www.youtube.com/watch?v=76WIl1Vnlw0. Acesso em: 27 set. 2026.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EBRAHEIM, Nabil.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Intrinsic minus and intrinsic plus hand</w:t>
      </w:r>
      <w:r>
        <w:rPr>
          <w:rFonts w:ascii="Arial" w:cs="Arial" w:eastAsia="Arial" w:hAnsi="Arial"/>
          <w:sz w:val="24"/>
          <w:szCs w:val="24"/>
        </w:rPr>
        <w:t xml:space="preserve">. [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S. l.</w:t>
      </w:r>
      <w:r>
        <w:rPr>
          <w:rFonts w:ascii="Arial" w:cs="Arial" w:eastAsia="Arial" w:hAnsi="Arial"/>
          <w:sz w:val="24"/>
          <w:szCs w:val="24"/>
        </w:rPr>
        <w:t xml:space="preserve">]: Orthopaedic Principles, [20--]. Disponível em: https://orthopaedicprinciples.com/intrinsic-minus-and-intrinsic-plus-hand/. Acesso em: 27 set. 2026.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HASSAN, K. M.; SAHNI, H. Nosology of juvenile muscular atrophy of distal upper extremity: from monomelic amyotrophy to Hirayama disease, Indian perspective.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BioMed Research International</w:t>
      </w:r>
      <w:r>
        <w:rPr>
          <w:rFonts w:ascii="Arial" w:cs="Arial" w:eastAsia="Arial" w:hAnsi="Arial"/>
          <w:sz w:val="24"/>
          <w:szCs w:val="24"/>
        </w:rPr>
        <w:t xml:space="preserve">, v. 2013, art. 478516, 2013. Disponível em: https://onlinelibrary.wiley.com/doi/10.1155/2013/478516. Acesso em: 27 set. 2026.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HIRAYAMA, K.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et al.</w:t>
      </w:r>
      <w:r>
        <w:rPr>
          <w:rFonts w:ascii="Arial" w:cs="Arial" w:eastAsia="Arial" w:hAnsi="Arial"/>
          <w:sz w:val="24"/>
          <w:szCs w:val="24"/>
        </w:rPr>
        <w:t xml:space="preserve"> Juvenile muscular atrophy of unilateral upper extremity: a new clinical entity.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Neurology</w:t>
      </w:r>
      <w:r>
        <w:rPr>
          <w:rFonts w:ascii="Arial" w:cs="Arial" w:eastAsia="Arial" w:hAnsi="Arial"/>
          <w:sz w:val="24"/>
          <w:szCs w:val="24"/>
        </w:rPr>
        <w:t xml:space="preserve">, v. 13, n. 5, p. 373-380, 1963. Disponível em: https://doi.org/10.1212/wnl.13.5.373. Acesso em: 27 set. 2026.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LAY, Sara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et al.</w:t>
      </w:r>
      <w:r>
        <w:rPr>
          <w:rFonts w:ascii="Arial" w:cs="Arial" w:eastAsia="Arial" w:hAnsi="Arial"/>
          <w:sz w:val="24"/>
          <w:szCs w:val="24"/>
        </w:rPr>
        <w:t xml:space="preserve"> Monomelic amyotrophy (Hirayama disease).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: STATPEARLS. Treasure Island (FL): StatPearls Publishing, 2024. Disponível em: https://www.ncbi.nlm.nih.gov/books/NBK499913/. Acesso em: 27 set. 2026.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LONGATELLI, Valeria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et al.</w:t>
      </w:r>
      <w:r>
        <w:rPr>
          <w:rFonts w:ascii="Arial" w:cs="Arial" w:eastAsia="Arial" w:hAnsi="Arial"/>
          <w:sz w:val="24"/>
          <w:szCs w:val="24"/>
        </w:rPr>
        <w:t xml:space="preserve"> User-centred assistive SystEm for arm Functions in neUromuscuLar subjects (USEFUL): a randomized controlled study.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Journal of NeuroEngineering and Rehabilitation</w:t>
      </w:r>
      <w:r>
        <w:rPr>
          <w:rFonts w:ascii="Arial" w:cs="Arial" w:eastAsia="Arial" w:hAnsi="Arial"/>
          <w:sz w:val="24"/>
          <w:szCs w:val="24"/>
        </w:rPr>
        <w:t xml:space="preserve">, v. 18, art. 4, 2021. Disponível em: https://www.ncbi.nlm.nih.gov/pmc/articles/PMC7789525/. Acesso em: 27 set. 2026.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LUO, H.; CHEN, P.; XIE, W. G. Comparison of the effects of self-made three-dimensional printed assistant tableware and traditional universal cuff assistant tableware in patients with upper limb dysfunction after burn injury.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Zhonghua Shao Shang Yu Chuang Mian Xiu Fu Za Zhi</w:t>
      </w:r>
      <w:r>
        <w:rPr>
          <w:rFonts w:ascii="Arial" w:cs="Arial" w:eastAsia="Arial" w:hAnsi="Arial"/>
          <w:sz w:val="24"/>
          <w:szCs w:val="24"/>
        </w:rPr>
        <w:t xml:space="preserve">, v. 38, n. 12, p. 1110-1116, 2022. Disponível em: https://pubmed.ncbi.nlm.nih.gov/36594140/. Acesso em: 27 set. 2026.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MINAYO, Maria Cecília de Souza. Análise qualitativa: teoria, passos e fidedignidade.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Ciência &amp; Saúde Coletiva</w:t>
      </w:r>
      <w:r>
        <w:rPr>
          <w:rFonts w:ascii="Arial" w:cs="Arial" w:eastAsia="Arial" w:hAnsi="Arial"/>
          <w:sz w:val="24"/>
          <w:szCs w:val="24"/>
        </w:rPr>
        <w:t xml:space="preserve">, Rio de Janeiro, v. 17, n. 3, p. 621-626, 2012. Disponível em: https://www.arca.fiocruz.br/handle/icict/21158. Acesso em: 27 set. 2026.</w:t>
      </w:r>
    </w:p>
    <w:p>
      <w:pPr>
        <w:spacing w:after="240" w:line="240"/>
        <w:jc w:val="left"/>
      </w:pPr>
      <w:r>
        <w:rPr>
          <w:rFonts w:ascii="Arial" w:cs="Arial" w:eastAsia="Arial" w:hAnsi="Arial"/>
          <w:sz w:val="24"/>
          <w:szCs w:val="24"/>
        </w:rPr>
        <w:t xml:space="preserve">PHILLIPS, B.; ZHAO, H. Predictors of assistive technology abandonment.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Assistive Technology</w:t>
      </w:r>
      <w:r>
        <w:rPr>
          <w:rFonts w:ascii="Arial" w:cs="Arial" w:eastAsia="Arial" w:hAnsi="Arial"/>
          <w:sz w:val="24"/>
          <w:szCs w:val="24"/>
        </w:rPr>
        <w:t xml:space="preserve">, v. 5, n. 1, p. 36-45, 1993. Disponível em: https://pubmed.ncbi.nlm.nih.gov/10171664/. Acesso em: 27 set. 2026.</w:t>
      </w:r>
    </w:p>
    <w:p>
      <w:r>
        <w:br w:type="page"/>
      </w:r>
    </w:p>
    <w:p>
      <w:pPr>
        <w:pStyle w:val="Heading1"/>
        <w:spacing w:after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APÊNDICE A – TENTATIVAS DE FOTOGRAMETRIA NO KIRI ENGINE</w:t>
      </w:r>
    </w:p>
    <w:p>
      <w:pPr>
        <w:spacing w:after="60" w:before="240" w:line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Figura 1</w:t>
      </w:r>
      <w:r>
        <w:rPr>
          <w:rFonts w:ascii="Arial" w:cs="Arial" w:eastAsia="Arial" w:hAnsi="Arial"/>
          <w:sz w:val="20"/>
          <w:szCs w:val="20"/>
        </w:rPr>
        <w:t xml:space="preserve"> – Tentativas de modelagem da mão por fotogrametria no aplicativo KIRI Engine (agosto de 2026)</w:t>
      </w:r>
    </w:p>
    <w:p>
      <w:pPr>
        <w:jc w:val="center"/>
      </w:pPr>
      <w:r>
        <w:drawing>
          <wp:inline distT="0" distB="0" distL="0" distR="0">
            <wp:extent cx="4191000" cy="2781300"/>
            <wp:effectExtent t="0" r="0" b="0" l="0"/>
            <wp:docPr id="1" name="Tentativas de modelagem da mão por fotogrametria no aplicativo KIRI Engine (agosto de 2026)" descr="Tentativas de modelagem da mão por fotogrametria no aplicativo KIRI Engine (agosto de 2026)" title="Tentativas de modelagem da mão por fotogrametria no aplicativo KIRI Engine (agosto de 20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60" w:line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 Imagem recortada para preservar a privacidade de terceiros.</w:t>
      </w:r>
    </w:p>
    <w:p>
      <w:r>
        <w:br w:type="page"/>
      </w:r>
    </w:p>
    <w:p>
      <w:pPr>
        <w:pStyle w:val="Heading1"/>
        <w:spacing w:after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APÊNDICE B – MODELO 3D DA MÃO GERADO NO MESHY AI</w:t>
      </w:r>
    </w:p>
    <w:p>
      <w:pPr>
        <w:spacing w:after="60" w:before="240" w:line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Figura 2</w:t>
      </w:r>
      <w:r>
        <w:rPr>
          <w:rFonts w:ascii="Arial" w:cs="Arial" w:eastAsia="Arial" w:hAnsi="Arial"/>
          <w:sz w:val="20"/>
          <w:szCs w:val="20"/>
        </w:rPr>
        <w:t xml:space="preserve"> – Modelo 3D da mão gerado no Meshy AI a partir da imagem de referência (setembro de 2026)</w:t>
      </w:r>
    </w:p>
    <w:p>
      <w:pPr>
        <w:jc w:val="center"/>
      </w:pPr>
      <w:r>
        <w:drawing>
          <wp:inline distT="0" distB="0" distL="0" distR="0">
            <wp:extent cx="4572000" cy="2924175"/>
            <wp:effectExtent t="0" r="0" b="0" l="0"/>
            <wp:docPr id="1" name="Modelo 3D da mão gerado no Meshy AI a partir da imagem de referência (setembro de 2026)" descr="Modelo 3D da mão gerado no Meshy AI a partir da imagem de referência (setembro de 2026)" title="Modelo 3D da mão gerado no Meshy AI a partir da imagem de referência (setembro de 20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60" w:line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r>
        <w:br w:type="page"/>
      </w:r>
    </w:p>
    <w:p>
      <w:pPr>
        <w:pStyle w:val="Heading1"/>
        <w:spacing w:after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APÊNDICE C – MODELO 3D DO DISPOSITIVO</w:t>
      </w:r>
    </w:p>
    <w:p>
      <w:pPr>
        <w:spacing w:after="60" w:before="240" w:line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Figura 3</w:t>
      </w:r>
      <w:r>
        <w:rPr>
          <w:rFonts w:ascii="Arial" w:cs="Arial" w:eastAsia="Arial" w:hAnsi="Arial"/>
          <w:sz w:val="20"/>
          <w:szCs w:val="20"/>
        </w:rPr>
        <w:t xml:space="preserve"> – Modelo 3D do dispositivo com engate magnético e garfo encaixado</w:t>
      </w:r>
    </w:p>
    <w:p>
      <w:pPr>
        <w:jc w:val="center"/>
      </w:pPr>
      <w:r>
        <w:drawing>
          <wp:inline distT="0" distB="0" distL="0" distR="0">
            <wp:extent cx="4953000" cy="2724150"/>
            <wp:effectExtent t="0" r="0" b="0" l="0"/>
            <wp:docPr id="1" name="Modelo 3D do dispositivo com engate magnético e garfo encaixado" descr="Modelo 3D do dispositivo com engate magnético e garfo encaixado" title="Modelo 3D do dispositivo com engate magnético e garfo encaix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60" w:line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Fonte: elaborado pelos autores (2026).</w:t>
      </w:r>
    </w:p>
    <w:p>
      <w:r>
        <w:br w:type="page"/>
      </w:r>
    </w:p>
    <w:p>
      <w:pPr>
        <w:pStyle w:val="Heading1"/>
        <w:spacing w:after="3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ANEXO A – IMAGEM DE REFERÊNCIA DA POSTURA DA MÃO</w:t>
      </w:r>
    </w:p>
    <w:p>
      <w:pPr>
        <w:spacing w:after="60" w:before="240" w:line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Figura 4</w:t>
      </w:r>
      <w:r>
        <w:rPr>
          <w:rFonts w:ascii="Arial" w:cs="Arial" w:eastAsia="Arial" w:hAnsi="Arial"/>
          <w:sz w:val="20"/>
          <w:szCs w:val="20"/>
        </w:rPr>
        <w:t xml:space="preserve"> – Imagem de referência da postura da mão utilizada como base para a modelagem 3D</w:t>
      </w:r>
    </w:p>
    <w:p>
      <w:pPr>
        <w:jc w:val="center"/>
      </w:pPr>
      <w:r>
        <w:drawing>
          <wp:inline distT="0" distB="0" distL="0" distR="0">
            <wp:extent cx="4000500" cy="2657475"/>
            <wp:effectExtent t="0" r="0" b="0" l="0"/>
            <wp:docPr id="1" name="Imagem de referência da postura da mão utilizada como base para a modelagem 3D" descr="Imagem de referência da postura da mão utilizada como base para a modelagem 3D" title="Imagem de referência da postura da mão utilizada como base para a modelagem 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60" w:line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Fonte: Ebraheim (2021).</w:t>
      </w:r>
    </w:p>
    <w:sectPr>
      <w:head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09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60" w:before="360"/>
      <w:outlineLvl w:val="0"/>
    </w:pPr>
    <w:rPr>
      <w:rFonts w:ascii="Arial" w:cs="Arial" w:eastAsia="Arial" w:hAnsi="Arial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240" w:before="360"/>
      <w:outlineLvl w:val="1"/>
    </w:pPr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5fbfc99db22b227c3ebef55797eebbeba822d702.png"/><Relationship Id="rId9" Type="http://schemas.openxmlformats.org/officeDocument/2006/relationships/image" Target="media/323af1dd5672c125b7d34f463111a3b9803aed52.png"/><Relationship Id="rId10" Type="http://schemas.openxmlformats.org/officeDocument/2006/relationships/image" Target="media/b302f7a7ac1e4ffde06bbc4159f5e1e12c6dd960.png"/><Relationship Id="rId11" Type="http://schemas.openxmlformats.org/officeDocument/2006/relationships/image" Target="media/6b1671a5a0ac4a8c462db841db2a71d4cbc1899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APEX I: Dossiê de Diagnóstico Extensionista e Proposta de Solução</dc:title>
  <dc:creator>Equipe Dispositivo Assistivo 3D</dc:creator>
  <cp:lastModifiedBy>Un-named</cp:lastModifiedBy>
  <cp:revision>1</cp:revision>
  <dcterms:created xsi:type="dcterms:W3CDTF">2026-09-27T18:36:33.982Z</dcterms:created>
  <dcterms:modified xsi:type="dcterms:W3CDTF">2026-09-27T18:36:33.982Z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